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9E" w:rsidRPr="00663E08" w:rsidRDefault="00F637B4" w:rsidP="00F5708F">
      <w:pPr>
        <w:pStyle w:val="2"/>
        <w:shd w:val="clear" w:color="auto" w:fill="FFFFFF"/>
        <w:spacing w:before="0" w:beforeAutospacing="0" w:after="0" w:line="500" w:lineRule="exact"/>
        <w:jc w:val="center"/>
        <w:rPr>
          <w:rFonts w:ascii="方正小标宋简体" w:eastAsia="方正小标宋简体" w:hAnsi="方正小标宋简体" w:cs="方正小标宋简体"/>
          <w:b w:val="0"/>
          <w:bCs w:val="0"/>
          <w:color w:val="auto"/>
          <w:sz w:val="44"/>
          <w:szCs w:val="44"/>
        </w:rPr>
      </w:pPr>
      <w:r w:rsidRPr="00663E08">
        <w:rPr>
          <w:rFonts w:ascii="方正小标宋简体" w:eastAsia="方正小标宋简体" w:hAnsi="方正小标宋简体" w:cs="方正小标宋简体" w:hint="eastAsia"/>
          <w:b w:val="0"/>
          <w:bCs w:val="0"/>
          <w:color w:val="auto"/>
          <w:sz w:val="44"/>
          <w:szCs w:val="44"/>
        </w:rPr>
        <w:t>东华理工大学成</w:t>
      </w:r>
      <w:r w:rsidR="006D761D">
        <w:rPr>
          <w:rFonts w:ascii="方正小标宋简体" w:eastAsia="方正小标宋简体" w:hAnsi="方正小标宋简体" w:cs="方正小标宋简体" w:hint="eastAsia"/>
          <w:b w:val="0"/>
          <w:bCs w:val="0"/>
          <w:color w:val="auto"/>
          <w:sz w:val="44"/>
          <w:szCs w:val="44"/>
        </w:rPr>
        <w:t>教</w:t>
      </w:r>
      <w:r w:rsidRPr="00663E08">
        <w:rPr>
          <w:rFonts w:ascii="方正小标宋简体" w:eastAsia="方正小标宋简体" w:hAnsi="方正小标宋简体" w:cs="方正小标宋简体" w:hint="eastAsia"/>
          <w:b w:val="0"/>
          <w:bCs w:val="0"/>
          <w:color w:val="auto"/>
          <w:sz w:val="44"/>
          <w:szCs w:val="44"/>
        </w:rPr>
        <w:t>（自考）本科毕业生</w:t>
      </w:r>
    </w:p>
    <w:p w:rsidR="0070389E" w:rsidRPr="00663E08" w:rsidRDefault="00F637B4" w:rsidP="00565A7C">
      <w:pPr>
        <w:pStyle w:val="2"/>
        <w:shd w:val="clear" w:color="auto" w:fill="FFFFFF"/>
        <w:spacing w:before="0" w:beforeAutospacing="0" w:after="0" w:line="500" w:lineRule="exact"/>
        <w:jc w:val="center"/>
        <w:rPr>
          <w:rFonts w:ascii="方正小标宋简体" w:eastAsia="方正小标宋简体" w:hAnsi="方正小标宋简体" w:cs="方正小标宋简体"/>
          <w:b w:val="0"/>
          <w:bCs w:val="0"/>
          <w:color w:val="auto"/>
          <w:sz w:val="44"/>
          <w:szCs w:val="44"/>
        </w:rPr>
      </w:pPr>
      <w:r w:rsidRPr="00663E08">
        <w:rPr>
          <w:rFonts w:ascii="方正小标宋简体" w:eastAsia="方正小标宋简体" w:hAnsi="方正小标宋简体" w:cs="方正小标宋简体" w:hint="eastAsia"/>
          <w:b w:val="0"/>
          <w:bCs w:val="0"/>
          <w:color w:val="auto"/>
          <w:sz w:val="44"/>
          <w:szCs w:val="44"/>
        </w:rPr>
        <w:t>学士学位授予工作实施细则（修订）</w:t>
      </w:r>
    </w:p>
    <w:p w:rsidR="0070389E" w:rsidRDefault="00F637B4" w:rsidP="002B7A65">
      <w:pPr>
        <w:spacing w:beforeLines="50"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第一条</w:t>
      </w:r>
      <w:r>
        <w:rPr>
          <w:rFonts w:ascii="仿宋_GB2312" w:eastAsia="仿宋_GB2312" w:hAnsi="仿宋_GB2312" w:cs="仿宋_GB2312" w:hint="eastAsia"/>
          <w:kern w:val="0"/>
          <w:sz w:val="32"/>
          <w:szCs w:val="32"/>
        </w:rPr>
        <w:t xml:space="preserve"> </w:t>
      </w:r>
      <w:r w:rsidR="006D761D">
        <w:rPr>
          <w:rFonts w:ascii="仿宋_GB2312" w:eastAsia="仿宋_GB2312" w:hAnsi="仿宋_GB2312" w:cs="仿宋_GB2312" w:hint="eastAsia"/>
          <w:kern w:val="0"/>
          <w:sz w:val="32"/>
          <w:szCs w:val="32"/>
        </w:rPr>
        <w:t>为做好我校成教</w:t>
      </w:r>
      <w:r>
        <w:rPr>
          <w:rFonts w:ascii="仿宋_GB2312" w:eastAsia="仿宋_GB2312" w:hAnsi="仿宋_GB2312" w:cs="仿宋_GB2312" w:hint="eastAsia"/>
          <w:kern w:val="0"/>
          <w:sz w:val="32"/>
          <w:szCs w:val="32"/>
        </w:rPr>
        <w:t>（自考）本科毕业生学士学位授予工作，确保人才培养和学士学位授予质量，根据《中华人民共和国学位条例》第二条以及《中华人民共和国学位条例暂行实施办法》第三条的规定，同时参照《江西省普通高等学校授予成人高等教育本科毕业生学士学位暂行办法》和《东华理工大学普通全日制本科毕业</w:t>
      </w:r>
      <w:r w:rsidR="00E952F1">
        <w:rPr>
          <w:rFonts w:ascii="仿宋_GB2312" w:eastAsia="仿宋_GB2312" w:hAnsi="仿宋_GB2312" w:cs="仿宋_GB2312" w:hint="eastAsia"/>
          <w:kern w:val="0"/>
          <w:sz w:val="32"/>
          <w:szCs w:val="32"/>
        </w:rPr>
        <w:t>生学士学位授予工作实施细则（修订）》的相关要求，结合我校实际</w:t>
      </w:r>
      <w:r>
        <w:rPr>
          <w:rFonts w:ascii="仿宋_GB2312" w:eastAsia="仿宋_GB2312" w:hAnsi="仿宋_GB2312" w:cs="仿宋_GB2312" w:hint="eastAsia"/>
          <w:kern w:val="0"/>
          <w:sz w:val="32"/>
          <w:szCs w:val="32"/>
        </w:rPr>
        <w:t>，</w:t>
      </w:r>
      <w:r w:rsidR="00E952F1">
        <w:rPr>
          <w:rFonts w:ascii="仿宋_GB2312" w:eastAsia="仿宋_GB2312" w:hAnsi="仿宋_GB2312" w:cs="仿宋_GB2312" w:hint="eastAsia"/>
          <w:kern w:val="0"/>
          <w:sz w:val="32"/>
          <w:szCs w:val="32"/>
        </w:rPr>
        <w:t>特</w:t>
      </w:r>
      <w:r>
        <w:rPr>
          <w:rFonts w:ascii="仿宋_GB2312" w:eastAsia="仿宋_GB2312" w:hAnsi="仿宋_GB2312" w:cs="仿宋_GB2312" w:hint="eastAsia"/>
          <w:kern w:val="0"/>
          <w:sz w:val="32"/>
          <w:szCs w:val="32"/>
        </w:rPr>
        <w:t>制定本实施细则。</w:t>
      </w:r>
    </w:p>
    <w:p w:rsidR="0070389E" w:rsidRDefault="00F637B4" w:rsidP="002B7A65">
      <w:pPr>
        <w:pStyle w:val="reader-word-layerreader-word-s1-3"/>
        <w:widowControl w:val="0"/>
        <w:shd w:val="clear" w:color="auto" w:fill="FFFFFF"/>
        <w:spacing w:beforeLines="50" w:beforeAutospacing="0" w:after="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sz w:val="32"/>
          <w:szCs w:val="32"/>
        </w:rPr>
        <w:t xml:space="preserve"> 在学士学位的授予工作中，必须坚持实事求是的科学态度，按照“坚持标准，严格要求，保证质量，公正合理”的原则。</w:t>
      </w:r>
    </w:p>
    <w:p w:rsidR="0070389E" w:rsidRDefault="00F637B4" w:rsidP="002B7A65">
      <w:pPr>
        <w:pStyle w:val="reader-word-layerreader-word-s1-2"/>
        <w:widowControl w:val="0"/>
        <w:shd w:val="clear" w:color="auto" w:fill="FFFFFF"/>
        <w:spacing w:beforeLines="50" w:beforeAutospacing="0" w:after="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sz w:val="32"/>
          <w:szCs w:val="32"/>
        </w:rPr>
        <w:t xml:space="preserve"> </w:t>
      </w:r>
      <w:r w:rsidR="006D761D">
        <w:rPr>
          <w:rFonts w:ascii="仿宋_GB2312" w:eastAsia="仿宋_GB2312" w:hAnsi="仿宋_GB2312" w:cs="仿宋_GB2312" w:hint="eastAsia"/>
          <w:sz w:val="32"/>
          <w:szCs w:val="32"/>
        </w:rPr>
        <w:t>成教</w:t>
      </w:r>
      <w:r>
        <w:rPr>
          <w:rFonts w:ascii="仿宋_GB2312" w:eastAsia="仿宋_GB2312" w:hAnsi="仿宋_GB2312" w:cs="仿宋_GB2312" w:hint="eastAsia"/>
          <w:sz w:val="32"/>
          <w:szCs w:val="32"/>
        </w:rPr>
        <w:t>（自考）应届本科毕业生同时符合下列条件、且无第四条规定情形的，可授予学士学位：</w:t>
      </w:r>
    </w:p>
    <w:p w:rsidR="00E952F1" w:rsidRDefault="00F637B4" w:rsidP="00663E08">
      <w:pPr>
        <w:pStyle w:val="reader-word-layerreader-word-s1-11"/>
        <w:widowControl w:val="0"/>
        <w:shd w:val="clear" w:color="auto" w:fill="FFFFFF"/>
        <w:tabs>
          <w:tab w:val="left" w:pos="900"/>
        </w:tabs>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6C1C1A" w:rsidRPr="006C1C1A">
        <w:rPr>
          <w:rFonts w:ascii="仿宋_GB2312" w:eastAsia="仿宋_GB2312" w:hAnsi="仿宋_GB2312" w:cs="仿宋_GB2312"/>
          <w:sz w:val="32"/>
          <w:szCs w:val="32"/>
        </w:rPr>
        <w:t>热爱祖国，</w:t>
      </w:r>
      <w:r w:rsidR="00E952F1">
        <w:rPr>
          <w:rFonts w:ascii="仿宋_GB2312" w:eastAsia="仿宋_GB2312" w:hAnsi="仿宋_GB2312" w:cs="仿宋_GB2312" w:hint="eastAsia"/>
          <w:sz w:val="32"/>
          <w:szCs w:val="32"/>
        </w:rPr>
        <w:t>拥护中国共产党的领导，</w:t>
      </w:r>
      <w:r w:rsidR="006C1C1A">
        <w:rPr>
          <w:rFonts w:ascii="仿宋_GB2312" w:eastAsia="仿宋_GB2312" w:hAnsi="仿宋_GB2312" w:cs="仿宋_GB2312" w:hint="eastAsia"/>
          <w:sz w:val="32"/>
          <w:szCs w:val="32"/>
        </w:rPr>
        <w:t>遵纪守法，</w:t>
      </w:r>
      <w:r w:rsidR="006C1C1A" w:rsidRPr="006C1C1A">
        <w:rPr>
          <w:rFonts w:ascii="仿宋_GB2312" w:eastAsia="仿宋_GB2312" w:hAnsi="仿宋_GB2312" w:cs="仿宋_GB2312"/>
          <w:sz w:val="32"/>
          <w:szCs w:val="32"/>
        </w:rPr>
        <w:t>品德良好</w:t>
      </w:r>
      <w:r w:rsidR="00E00C9D">
        <w:rPr>
          <w:rFonts w:ascii="仿宋_GB2312" w:eastAsia="仿宋_GB2312" w:hAnsi="仿宋_GB2312" w:cs="仿宋_GB2312" w:hint="eastAsia"/>
          <w:sz w:val="32"/>
          <w:szCs w:val="32"/>
        </w:rPr>
        <w:t>;</w:t>
      </w:r>
    </w:p>
    <w:p w:rsidR="0070389E" w:rsidRDefault="00E952F1" w:rsidP="00663E08">
      <w:pPr>
        <w:pStyle w:val="reader-word-layerreader-word-s1-11"/>
        <w:widowControl w:val="0"/>
        <w:shd w:val="clear" w:color="auto" w:fill="FFFFFF"/>
        <w:tabs>
          <w:tab w:val="left" w:pos="900"/>
        </w:tabs>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F637B4">
        <w:rPr>
          <w:rFonts w:ascii="仿宋_GB2312" w:eastAsia="仿宋_GB2312" w:hAnsi="仿宋_GB2312" w:cs="仿宋_GB2312" w:hint="eastAsia"/>
          <w:sz w:val="32"/>
          <w:szCs w:val="32"/>
        </w:rPr>
        <w:t>参加成人高考，按照国家招生政</w:t>
      </w:r>
      <w:r w:rsidR="00E00C9D">
        <w:rPr>
          <w:rFonts w:ascii="仿宋_GB2312" w:eastAsia="仿宋_GB2312" w:hAnsi="仿宋_GB2312" w:cs="仿宋_GB2312" w:hint="eastAsia"/>
          <w:sz w:val="32"/>
          <w:szCs w:val="32"/>
        </w:rPr>
        <w:t>策录取、复查合格后具有我校学籍；取得我校毕业资格的自学考试学生;</w:t>
      </w:r>
    </w:p>
    <w:p w:rsidR="0070389E" w:rsidRDefault="00F637B4" w:rsidP="00663E08">
      <w:pPr>
        <w:pStyle w:val="reader-word-layerreader-word-s1-11"/>
        <w:widowControl w:val="0"/>
        <w:shd w:val="clear" w:color="auto" w:fill="FFFFFF"/>
        <w:tabs>
          <w:tab w:val="left" w:pos="900"/>
        </w:tabs>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（三）在学校规定的学习年限内，达到本科人才培养计划规定的各项要求，经审核准予毕业。</w:t>
      </w:r>
    </w:p>
    <w:p w:rsidR="0070389E" w:rsidRDefault="00F637B4" w:rsidP="002B7A65">
      <w:pPr>
        <w:pStyle w:val="reader-word-layerreader-word-s1-11"/>
        <w:widowControl w:val="0"/>
        <w:shd w:val="clear" w:color="auto" w:fill="FFFFFF"/>
        <w:spacing w:beforeLines="50" w:beforeAutospacing="0" w:after="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第四条</w:t>
      </w:r>
      <w:r>
        <w:rPr>
          <w:rFonts w:ascii="仿宋_GB2312" w:eastAsia="仿宋_GB2312" w:hAnsi="仿宋_GB2312" w:cs="仿宋_GB2312" w:hint="eastAsia"/>
          <w:sz w:val="32"/>
          <w:szCs w:val="32"/>
        </w:rPr>
        <w:t xml:space="preserve"> 有下列情形之一者，不得授予学士学位：</w:t>
      </w:r>
    </w:p>
    <w:p w:rsidR="0070389E" w:rsidRDefault="00F637B4" w:rsidP="00663E08">
      <w:pPr>
        <w:pStyle w:val="reader-word-layerreader-word-s1-11"/>
        <w:widowControl w:val="0"/>
        <w:shd w:val="clear" w:color="auto" w:fill="FFFFFF"/>
        <w:tabs>
          <w:tab w:val="left" w:pos="900"/>
        </w:tabs>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（一）在校期间受过记过及以上处分的；</w:t>
      </w:r>
    </w:p>
    <w:p w:rsidR="0070389E" w:rsidRDefault="00F637B4" w:rsidP="00663E08">
      <w:pPr>
        <w:pStyle w:val="reader-word-layerreader-word-s1-11"/>
        <w:widowControl w:val="0"/>
        <w:shd w:val="clear" w:color="auto" w:fill="FFFFFF"/>
        <w:tabs>
          <w:tab w:val="left" w:pos="900"/>
        </w:tabs>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（二）已毕业离校的非应届毕业生；</w:t>
      </w:r>
    </w:p>
    <w:p w:rsidR="0070389E" w:rsidRDefault="00F637B4" w:rsidP="00663E08">
      <w:pPr>
        <w:pStyle w:val="reader-word-layerreader-word-s1-11"/>
        <w:widowControl w:val="0"/>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（三）所学专业规定的主干课程考试平均分数未达到75分以上（不含75分）；</w:t>
      </w:r>
    </w:p>
    <w:p w:rsidR="0070389E" w:rsidRDefault="00F637B4" w:rsidP="00663E08">
      <w:pPr>
        <w:pStyle w:val="reader-word-layerreader-word-s1-11"/>
        <w:widowControl w:val="0"/>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（四）参加学校学位主管部门组织的成人高等教育本科学士学位外语考试和有关课程考试成绩未达到要求；</w:t>
      </w:r>
    </w:p>
    <w:p w:rsidR="0070389E" w:rsidRDefault="00F637B4" w:rsidP="00663E08">
      <w:pPr>
        <w:pStyle w:val="reader-word-layerreader-word-s1-11"/>
        <w:widowControl w:val="0"/>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（五）自学考试本科毕业生毕业论文及答辩成绩在</w:t>
      </w:r>
      <w:r w:rsidR="00DC50F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w:t>
      </w:r>
      <w:r w:rsidR="00DC50F4">
        <w:rPr>
          <w:rFonts w:ascii="仿宋_GB2312" w:eastAsia="仿宋_GB2312" w:hAnsi="仿宋_GB2312" w:cs="仿宋_GB2312" w:hint="eastAsia"/>
          <w:sz w:val="32"/>
          <w:szCs w:val="32"/>
        </w:rPr>
        <w:t>等”以下（不含“中等”</w:t>
      </w:r>
      <w:r>
        <w:rPr>
          <w:rFonts w:ascii="仿宋_GB2312" w:eastAsia="仿宋_GB2312" w:hAnsi="仿宋_GB2312" w:cs="仿宋_GB2312" w:hint="eastAsia"/>
          <w:sz w:val="32"/>
          <w:szCs w:val="32"/>
        </w:rPr>
        <w:t>）；</w:t>
      </w:r>
    </w:p>
    <w:p w:rsidR="0070389E" w:rsidRDefault="00F637B4" w:rsidP="00663E08">
      <w:pPr>
        <w:pStyle w:val="reader-word-layerreader-word-s1-11"/>
        <w:widowControl w:val="0"/>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（六）考试作弊或协同他人作弊。</w:t>
      </w:r>
    </w:p>
    <w:p w:rsidR="0070389E" w:rsidRDefault="00F637B4" w:rsidP="00663E08">
      <w:pPr>
        <w:pStyle w:val="reader-word-layerreader-word-s1-11"/>
        <w:widowControl w:val="0"/>
        <w:shd w:val="clear" w:color="auto" w:fill="FFFFFF"/>
        <w:spacing w:before="0" w:beforeAutospacing="0" w:after="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sz w:val="32"/>
          <w:szCs w:val="32"/>
        </w:rPr>
        <w:t>第五条</w:t>
      </w:r>
      <w:r>
        <w:rPr>
          <w:rFonts w:ascii="仿宋_GB2312" w:eastAsia="仿宋_GB2312" w:hAnsi="仿宋_GB2312" w:cs="仿宋_GB2312" w:hint="eastAsia"/>
          <w:sz w:val="32"/>
          <w:szCs w:val="32"/>
        </w:rPr>
        <w:t xml:space="preserve">  学士学位申请和授予工作，一般按以下程序进行：</w:t>
      </w:r>
    </w:p>
    <w:p w:rsidR="0070389E" w:rsidRDefault="00F637B4" w:rsidP="00663E08">
      <w:pPr>
        <w:pStyle w:val="reader-word-layerreader-word-s1-3"/>
        <w:widowControl w:val="0"/>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（一）各函授站根据学士学位授予条件，对本站达到毕业要求的本科</w:t>
      </w:r>
      <w:r w:rsidR="00E00C9D">
        <w:rPr>
          <w:rFonts w:ascii="仿宋_GB2312" w:eastAsia="仿宋_GB2312" w:hAnsi="仿宋_GB2312" w:cs="仿宋_GB2312" w:hint="eastAsia"/>
          <w:sz w:val="32"/>
          <w:szCs w:val="32"/>
        </w:rPr>
        <w:t>毕业生学士学位授予资格进行初审，在学校指定的管理平台上提出申请;</w:t>
      </w:r>
    </w:p>
    <w:p w:rsidR="0070389E" w:rsidRDefault="006C7C40" w:rsidP="00663E08">
      <w:pPr>
        <w:pStyle w:val="reader-word-layerreader-word-s1-3"/>
        <w:widowControl w:val="0"/>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（二）继续教育学</w:t>
      </w:r>
      <w:r w:rsidR="00F637B4">
        <w:rPr>
          <w:rFonts w:ascii="仿宋_GB2312" w:eastAsia="仿宋_GB2312" w:hAnsi="仿宋_GB2312" w:cs="仿宋_GB2312" w:hint="eastAsia"/>
          <w:sz w:val="32"/>
          <w:szCs w:val="32"/>
        </w:rPr>
        <w:t>院对各函授站申请的名单进行复核，</w:t>
      </w:r>
      <w:r>
        <w:rPr>
          <w:rFonts w:ascii="仿宋_GB2312" w:eastAsia="仿宋_GB2312" w:hAnsi="仿宋_GB2312" w:cs="仿宋_GB2312" w:hint="eastAsia"/>
          <w:sz w:val="32"/>
          <w:szCs w:val="32"/>
        </w:rPr>
        <w:t>审核通过后，组织学生参加有关课程考试。考试科目为：一门基础课和</w:t>
      </w:r>
      <w:r w:rsidR="00662013">
        <w:rPr>
          <w:rFonts w:ascii="仿宋_GB2312" w:eastAsia="仿宋_GB2312" w:hAnsi="仿宋_GB2312" w:cs="仿宋_GB2312" w:hint="eastAsia"/>
          <w:sz w:val="32"/>
          <w:szCs w:val="32"/>
        </w:rPr>
        <w:t>两</w:t>
      </w:r>
      <w:r w:rsidR="00E00C9D">
        <w:rPr>
          <w:rFonts w:ascii="仿宋_GB2312" w:eastAsia="仿宋_GB2312" w:hAnsi="仿宋_GB2312" w:cs="仿宋_GB2312" w:hint="eastAsia"/>
          <w:sz w:val="32"/>
          <w:szCs w:val="32"/>
        </w:rPr>
        <w:t>门专业课;</w:t>
      </w:r>
    </w:p>
    <w:p w:rsidR="0070389E" w:rsidRDefault="006C7C40" w:rsidP="00663E08">
      <w:pPr>
        <w:pStyle w:val="reader-word-layerreader-word-s1-3"/>
        <w:widowControl w:val="0"/>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（三）继续教育学院</w:t>
      </w:r>
      <w:r w:rsidR="00F637B4">
        <w:rPr>
          <w:rFonts w:ascii="仿宋_GB2312" w:eastAsia="仿宋_GB2312" w:hAnsi="仿宋_GB2312" w:cs="仿宋_GB2312" w:hint="eastAsia"/>
          <w:sz w:val="32"/>
          <w:szCs w:val="32"/>
        </w:rPr>
        <w:t>将审核通过的学生名单和专业课考</w:t>
      </w:r>
      <w:r w:rsidR="00E00C9D">
        <w:rPr>
          <w:rFonts w:ascii="仿宋_GB2312" w:eastAsia="仿宋_GB2312" w:hAnsi="仿宋_GB2312" w:cs="仿宋_GB2312" w:hint="eastAsia"/>
          <w:sz w:val="32"/>
          <w:szCs w:val="32"/>
        </w:rPr>
        <w:t>试成绩报学校教务处，教务处审核通过以后发文上报江西省学位办复核;</w:t>
      </w:r>
    </w:p>
    <w:p w:rsidR="0070389E" w:rsidRDefault="00F637B4" w:rsidP="00663E08">
      <w:pPr>
        <w:pStyle w:val="reader-word-layerreader-word-s1-3"/>
        <w:widowControl w:val="0"/>
        <w:shd w:val="clear" w:color="auto" w:fill="FFFFFF"/>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（四）江西省学位办审核通过以后，学校教务处上报</w:t>
      </w:r>
      <w:r w:rsidR="00662013">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校学位评定委员会评议、审核。</w:t>
      </w:r>
    </w:p>
    <w:p w:rsidR="0070389E" w:rsidRDefault="00F637B4" w:rsidP="002B7A65">
      <w:pPr>
        <w:pStyle w:val="reader-word-layerreader-word-s1-11"/>
        <w:widowControl w:val="0"/>
        <w:shd w:val="clear" w:color="auto" w:fill="FFFFFF"/>
        <w:spacing w:beforeLines="50" w:beforeAutospacing="0" w:after="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kern w:val="2"/>
          <w:sz w:val="32"/>
          <w:szCs w:val="32"/>
        </w:rPr>
        <w:t>第六条</w:t>
      </w:r>
      <w:r>
        <w:rPr>
          <w:rFonts w:ascii="仿宋_GB2312" w:eastAsia="仿宋_GB2312" w:hAnsi="仿宋_GB2312" w:cs="仿宋_GB2312" w:hint="eastAsia"/>
          <w:sz w:val="32"/>
          <w:szCs w:val="32"/>
        </w:rPr>
        <w:t xml:space="preserve"> 本办法自2021年5月1日起执行。</w:t>
      </w:r>
      <w:bookmarkStart w:id="0" w:name="_GoBack"/>
      <w:bookmarkEnd w:id="0"/>
    </w:p>
    <w:p w:rsidR="0070389E" w:rsidRDefault="00F637B4" w:rsidP="002B7A65">
      <w:pPr>
        <w:pStyle w:val="reader-word-layerreader-word-s1-11"/>
        <w:widowControl w:val="0"/>
        <w:shd w:val="clear" w:color="auto" w:fill="FFFFFF"/>
        <w:spacing w:beforeLines="50" w:beforeAutospacing="0" w:after="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kern w:val="2"/>
          <w:sz w:val="32"/>
          <w:szCs w:val="32"/>
        </w:rPr>
        <w:t>第七条</w:t>
      </w:r>
      <w:r>
        <w:rPr>
          <w:rFonts w:ascii="仿宋_GB2312" w:eastAsia="仿宋_GB2312" w:hAnsi="仿宋_GB2312" w:cs="仿宋_GB2312" w:hint="eastAsia"/>
          <w:sz w:val="32"/>
          <w:szCs w:val="32"/>
        </w:rPr>
        <w:t xml:space="preserve"> 本细则由</w:t>
      </w:r>
      <w:r w:rsidR="00662013">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校学位评定委员会负责解释。</w:t>
      </w:r>
    </w:p>
    <w:p w:rsidR="0070389E" w:rsidRDefault="0070389E" w:rsidP="00663E08">
      <w:pPr>
        <w:spacing w:line="560" w:lineRule="exact"/>
      </w:pPr>
    </w:p>
    <w:sectPr w:rsidR="0070389E" w:rsidSect="00663E08">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BEA" w:rsidRDefault="00A01BEA" w:rsidP="00F5708F">
      <w:r>
        <w:separator/>
      </w:r>
    </w:p>
  </w:endnote>
  <w:endnote w:type="continuationSeparator" w:id="0">
    <w:p w:rsidR="00A01BEA" w:rsidRDefault="00A01BEA" w:rsidP="00F57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BEA" w:rsidRDefault="00A01BEA" w:rsidP="00F5708F">
      <w:r>
        <w:separator/>
      </w:r>
    </w:p>
  </w:footnote>
  <w:footnote w:type="continuationSeparator" w:id="0">
    <w:p w:rsidR="00A01BEA" w:rsidRDefault="00A01BEA" w:rsidP="00F570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FC92D19"/>
    <w:rsid w:val="00072E3F"/>
    <w:rsid w:val="000810F8"/>
    <w:rsid w:val="0011105E"/>
    <w:rsid w:val="00131CB0"/>
    <w:rsid w:val="00274CCB"/>
    <w:rsid w:val="002B7A65"/>
    <w:rsid w:val="00335A97"/>
    <w:rsid w:val="00366441"/>
    <w:rsid w:val="0042163B"/>
    <w:rsid w:val="00426597"/>
    <w:rsid w:val="00495359"/>
    <w:rsid w:val="004B0A3F"/>
    <w:rsid w:val="004B20E6"/>
    <w:rsid w:val="005561B5"/>
    <w:rsid w:val="00565A7C"/>
    <w:rsid w:val="005C5FA1"/>
    <w:rsid w:val="0066143C"/>
    <w:rsid w:val="00662013"/>
    <w:rsid w:val="006631CF"/>
    <w:rsid w:val="00663E08"/>
    <w:rsid w:val="00666144"/>
    <w:rsid w:val="006950C0"/>
    <w:rsid w:val="006C1C1A"/>
    <w:rsid w:val="006C7C40"/>
    <w:rsid w:val="006D4C7C"/>
    <w:rsid w:val="006D761D"/>
    <w:rsid w:val="0070389E"/>
    <w:rsid w:val="00714451"/>
    <w:rsid w:val="00716345"/>
    <w:rsid w:val="008A537F"/>
    <w:rsid w:val="008A7B04"/>
    <w:rsid w:val="00A01BEA"/>
    <w:rsid w:val="00AF0F5C"/>
    <w:rsid w:val="00DB4118"/>
    <w:rsid w:val="00DC50F4"/>
    <w:rsid w:val="00E00C9D"/>
    <w:rsid w:val="00E308C6"/>
    <w:rsid w:val="00E952F1"/>
    <w:rsid w:val="00EA2434"/>
    <w:rsid w:val="00F35BB8"/>
    <w:rsid w:val="00F5708F"/>
    <w:rsid w:val="00F637B4"/>
    <w:rsid w:val="016A3EE5"/>
    <w:rsid w:val="0B5015C9"/>
    <w:rsid w:val="0C7F72F2"/>
    <w:rsid w:val="11361076"/>
    <w:rsid w:val="19697AD0"/>
    <w:rsid w:val="34D2766D"/>
    <w:rsid w:val="39AD362A"/>
    <w:rsid w:val="42A209C7"/>
    <w:rsid w:val="49D37C82"/>
    <w:rsid w:val="56481401"/>
    <w:rsid w:val="574B52BA"/>
    <w:rsid w:val="5A5A6391"/>
    <w:rsid w:val="5B424AA8"/>
    <w:rsid w:val="5E40087D"/>
    <w:rsid w:val="5FC92D19"/>
    <w:rsid w:val="60694FBB"/>
    <w:rsid w:val="767C126F"/>
    <w:rsid w:val="7E722A3F"/>
    <w:rsid w:val="7ECE0ACB"/>
    <w:rsid w:val="7FB829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89E"/>
    <w:pPr>
      <w:widowControl w:val="0"/>
      <w:jc w:val="both"/>
    </w:pPr>
    <w:rPr>
      <w:kern w:val="2"/>
      <w:sz w:val="21"/>
      <w:szCs w:val="24"/>
    </w:rPr>
  </w:style>
  <w:style w:type="paragraph" w:styleId="2">
    <w:name w:val="heading 2"/>
    <w:basedOn w:val="a"/>
    <w:next w:val="a"/>
    <w:uiPriority w:val="9"/>
    <w:unhideWhenUsed/>
    <w:qFormat/>
    <w:rsid w:val="0070389E"/>
    <w:pPr>
      <w:widowControl/>
      <w:spacing w:before="100" w:beforeAutospacing="1" w:after="225" w:line="288" w:lineRule="atLeast"/>
      <w:jc w:val="left"/>
      <w:outlineLvl w:val="1"/>
    </w:pPr>
    <w:rPr>
      <w:rFonts w:ascii="微软雅黑" w:eastAsia="微软雅黑" w:hAnsi="宋体" w:cs="宋体"/>
      <w:b/>
      <w:bCs/>
      <w:caps/>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reader-word-s1-3">
    <w:name w:val="reader-word-layer reader-word-s1-3"/>
    <w:basedOn w:val="a"/>
    <w:qFormat/>
    <w:rsid w:val="0070389E"/>
    <w:pPr>
      <w:widowControl/>
      <w:spacing w:before="100" w:beforeAutospacing="1" w:after="100" w:afterAutospacing="1"/>
      <w:jc w:val="left"/>
    </w:pPr>
    <w:rPr>
      <w:rFonts w:ascii="宋体" w:hAnsi="宋体" w:cs="宋体"/>
      <w:kern w:val="0"/>
      <w:sz w:val="24"/>
    </w:rPr>
  </w:style>
  <w:style w:type="paragraph" w:customStyle="1" w:styleId="reader-word-layerreader-word-s1-2">
    <w:name w:val="reader-word-layer reader-word-s1-2"/>
    <w:basedOn w:val="a"/>
    <w:qFormat/>
    <w:rsid w:val="0070389E"/>
    <w:pPr>
      <w:widowControl/>
      <w:spacing w:before="100" w:beforeAutospacing="1" w:after="100" w:afterAutospacing="1"/>
      <w:jc w:val="left"/>
    </w:pPr>
    <w:rPr>
      <w:rFonts w:ascii="宋体" w:hAnsi="宋体" w:cs="宋体"/>
      <w:kern w:val="0"/>
      <w:sz w:val="24"/>
    </w:rPr>
  </w:style>
  <w:style w:type="paragraph" w:customStyle="1" w:styleId="reader-word-layerreader-word-s1-11">
    <w:name w:val="reader-word-layer reader-word-s1-11"/>
    <w:basedOn w:val="a"/>
    <w:rsid w:val="0070389E"/>
    <w:pPr>
      <w:widowControl/>
      <w:spacing w:before="100" w:beforeAutospacing="1" w:after="100" w:afterAutospacing="1"/>
      <w:jc w:val="left"/>
    </w:pPr>
    <w:rPr>
      <w:rFonts w:ascii="宋体" w:hAnsi="宋体" w:cs="宋体"/>
      <w:kern w:val="0"/>
      <w:sz w:val="24"/>
    </w:rPr>
  </w:style>
  <w:style w:type="paragraph" w:styleId="a3">
    <w:name w:val="header"/>
    <w:basedOn w:val="a"/>
    <w:link w:val="Char"/>
    <w:rsid w:val="00F570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708F"/>
    <w:rPr>
      <w:kern w:val="2"/>
      <w:sz w:val="18"/>
      <w:szCs w:val="18"/>
    </w:rPr>
  </w:style>
  <w:style w:type="paragraph" w:styleId="a4">
    <w:name w:val="footer"/>
    <w:basedOn w:val="a"/>
    <w:link w:val="Char0"/>
    <w:rsid w:val="00F5708F"/>
    <w:pPr>
      <w:tabs>
        <w:tab w:val="center" w:pos="4153"/>
        <w:tab w:val="right" w:pos="8306"/>
      </w:tabs>
      <w:snapToGrid w:val="0"/>
      <w:jc w:val="left"/>
    </w:pPr>
    <w:rPr>
      <w:sz w:val="18"/>
      <w:szCs w:val="18"/>
    </w:rPr>
  </w:style>
  <w:style w:type="character" w:customStyle="1" w:styleId="Char0">
    <w:name w:val="页脚 Char"/>
    <w:basedOn w:val="a0"/>
    <w:link w:val="a4"/>
    <w:rsid w:val="00F5708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D2C3F5-9AFC-4C3C-AF50-F51A1B31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Administrator</cp:lastModifiedBy>
  <cp:revision>2</cp:revision>
  <cp:lastPrinted>2021-06-03T09:45:00Z</cp:lastPrinted>
  <dcterms:created xsi:type="dcterms:W3CDTF">2022-03-31T02:04:00Z</dcterms:created>
  <dcterms:modified xsi:type="dcterms:W3CDTF">2022-03-31T02:04:00Z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